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龙岩市电动自行车停放充电场所</w:t>
      </w:r>
    </w:p>
    <w:p>
      <w:pPr>
        <w:spacing w:line="600" w:lineRule="exact"/>
        <w:jc w:val="center"/>
        <w:rPr>
          <w:rFonts w:hint="eastAsia"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建设指引（试行）</w:t>
      </w:r>
    </w:p>
    <w:p>
      <w:pPr>
        <w:spacing w:line="600" w:lineRule="exact"/>
        <w:jc w:val="center"/>
        <w:rPr>
          <w:rFonts w:hint="eastAsia" w:ascii="黑体" w:hAnsi="黑体" w:eastAsia="黑体" w:cs="黑体"/>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一、总</w:t>
      </w:r>
      <w:r>
        <w:rPr>
          <w:rFonts w:hint="eastAsia" w:ascii="黑体" w:hAnsi="黑体" w:eastAsia="黑体" w:cs="黑体"/>
          <w:color w:val="auto"/>
          <w:sz w:val="32"/>
          <w:szCs w:val="32"/>
        </w:rPr>
        <w:tab/>
      </w:r>
      <w:r>
        <w:rPr>
          <w:rFonts w:hint="eastAsia" w:ascii="黑体" w:hAnsi="黑体" w:eastAsia="黑体" w:cs="黑体"/>
          <w:color w:val="auto"/>
          <w:sz w:val="32"/>
          <w:szCs w:val="32"/>
        </w:rPr>
        <w:t>则</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第一条</w:t>
      </w:r>
      <w:r>
        <w:rPr>
          <w:rFonts w:hint="eastAsia" w:ascii="仿宋_GB2312" w:hAnsi="仿宋" w:eastAsia="仿宋_GB2312" w:cs="仿宋"/>
          <w:color w:val="auto"/>
          <w:sz w:val="32"/>
          <w:szCs w:val="32"/>
        </w:rPr>
        <w:t xml:space="preserve"> 为规范龙岩市电动自行车停放充电场所建设工作，保障工程安全，实现电动自行车集中停放充电场所建设安全可靠、经济适用、确保质量，制定本指引。</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第二条</w:t>
      </w:r>
      <w:r>
        <w:rPr>
          <w:rFonts w:hint="eastAsia" w:ascii="仿宋_GB2312" w:hAnsi="仿宋" w:eastAsia="仿宋_GB2312" w:cs="仿宋"/>
          <w:color w:val="auto"/>
          <w:sz w:val="32"/>
          <w:szCs w:val="32"/>
        </w:rPr>
        <w:t xml:space="preserve"> 本报装指引适用于龙岩市新建、扩建、改建电动自行车停放充电场所。</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第三条 </w:t>
      </w:r>
      <w:r>
        <w:rPr>
          <w:rFonts w:hint="eastAsia" w:ascii="仿宋_GB2312" w:hAnsi="仿宋" w:eastAsia="仿宋_GB2312" w:cs="仿宋"/>
          <w:color w:val="auto"/>
          <w:sz w:val="32"/>
          <w:szCs w:val="32"/>
        </w:rPr>
        <w:t>电动自行车停放充电场所、充电配电箱、市电引入等配套设施应与新建住宅小区同步规划、建设。集中停放充电区域应符合消防、供电等安全管理要求，并方便居民使用。</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第四条 </w:t>
      </w:r>
      <w:r>
        <w:rPr>
          <w:rFonts w:hint="eastAsia" w:ascii="仿宋_GB2312" w:hAnsi="仿宋" w:eastAsia="仿宋_GB2312" w:cs="仿宋"/>
          <w:color w:val="auto"/>
          <w:sz w:val="32"/>
          <w:szCs w:val="32"/>
        </w:rPr>
        <w:t>既有建筑配建电动自行车停放充电场所应当遵循“因地制宜、安全适用”的原则，优先选择设置在室外露天区域。</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第五条</w:t>
      </w:r>
      <w:r>
        <w:rPr>
          <w:rFonts w:hint="eastAsia" w:ascii="仿宋_GB2312" w:hAnsi="仿宋" w:eastAsia="仿宋_GB2312" w:cs="仿宋"/>
          <w:color w:val="auto"/>
          <w:sz w:val="32"/>
          <w:szCs w:val="32"/>
        </w:rPr>
        <w:t xml:space="preserve"> 新建、扩建、改建电动自行车集中停放充电场所，除应符合本报装指引外，尚应符合国家、行业及本省现行有关技术标准的规定。</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二、选址及布局</w:t>
      </w:r>
    </w:p>
    <w:p>
      <w:pPr>
        <w:spacing w:line="600" w:lineRule="exact"/>
        <w:ind w:firstLine="643" w:firstLineChars="200"/>
        <w:rPr>
          <w:rFonts w:hint="eastAsia" w:ascii="仿宋_GB2312" w:hAnsi="仿宋" w:eastAsia="仿宋_GB2312" w:cs="仿宋"/>
          <w:b/>
          <w:color w:val="auto"/>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第六条 </w:t>
      </w:r>
      <w:r>
        <w:rPr>
          <w:rFonts w:hint="eastAsia" w:ascii="仿宋_GB2312" w:hAnsi="仿宋" w:eastAsia="仿宋_GB2312" w:cs="仿宋"/>
          <w:color w:val="auto"/>
          <w:sz w:val="32"/>
          <w:szCs w:val="32"/>
        </w:rPr>
        <w:t>电动自行车停车充电场所应按照小区电动自行车的保有量、建筑分布、小区道路等实际情况规划建设。</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第七条</w:t>
      </w:r>
      <w:r>
        <w:rPr>
          <w:rFonts w:hint="eastAsia" w:ascii="仿宋_GB2312" w:hAnsi="仿宋" w:eastAsia="仿宋_GB2312" w:cs="仿宋"/>
          <w:color w:val="auto"/>
          <w:sz w:val="32"/>
          <w:szCs w:val="32"/>
        </w:rPr>
        <w:t xml:space="preserve"> 电动自行车停放充电场所应合理选址，选取便于消防救援力量扑救的位置。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第八条</w:t>
      </w:r>
      <w:r>
        <w:rPr>
          <w:rFonts w:hint="eastAsia" w:ascii="仿宋_GB2312" w:hAnsi="仿宋" w:eastAsia="仿宋_GB2312" w:cs="仿宋"/>
          <w:color w:val="auto"/>
          <w:sz w:val="32"/>
          <w:szCs w:val="32"/>
        </w:rPr>
        <w:t xml:space="preserve"> 电动自行车停放充电场所的设置不应占用防火间距、消防车道、消防车登高操作场地、安全出口和疏散通道，不应影响消防设施的正常使用，不应破坏防火分隔、防排烟等消防安全条件。</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第九条</w:t>
      </w:r>
      <w:r>
        <w:rPr>
          <w:rFonts w:hint="eastAsia" w:ascii="仿宋_GB2312" w:hAnsi="仿宋" w:eastAsia="仿宋_GB2312" w:cs="仿宋"/>
          <w:color w:val="auto"/>
          <w:sz w:val="32"/>
          <w:szCs w:val="32"/>
        </w:rPr>
        <w:t xml:space="preserve"> 电动自行车停放充电场所应集中布置，并宜设置在室外或既有的非机动车库内。确需设置在室内其他部位时，应设置在独立区域，与其他区域应进行防火分隔。</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第十条 </w:t>
      </w:r>
      <w:r>
        <w:rPr>
          <w:rFonts w:hint="eastAsia" w:ascii="仿宋_GB2312" w:hAnsi="仿宋" w:eastAsia="仿宋_GB2312" w:cs="仿宋"/>
          <w:color w:val="auto"/>
          <w:sz w:val="32"/>
          <w:szCs w:val="32"/>
        </w:rPr>
        <w:t>严禁在建筑走道、楼梯间及前室疏散通道、安全出口、门厅等公共区域设置电动自行车停放充电场。</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第十一条</w:t>
      </w:r>
      <w:r>
        <w:rPr>
          <w:rFonts w:hint="eastAsia" w:ascii="仿宋_GB2312" w:hAnsi="仿宋" w:eastAsia="仿宋_GB2312" w:cs="仿宋"/>
          <w:color w:val="auto"/>
          <w:sz w:val="32"/>
          <w:szCs w:val="32"/>
        </w:rPr>
        <w:t xml:space="preserve"> 在老旧住宅小区</w:t>
      </w:r>
      <w:r>
        <w:rPr>
          <w:rFonts w:hint="eastAsia" w:ascii="仿宋_GB2312" w:hAnsi="仿宋" w:eastAsia="仿宋_GB2312" w:cs="仿宋"/>
          <w:b w:val="0"/>
          <w:bCs w:val="0"/>
          <w:color w:val="auto"/>
          <w:sz w:val="32"/>
          <w:szCs w:val="32"/>
          <w:lang w:eastAsia="zh-CN"/>
        </w:rPr>
        <w:t>、村</w:t>
      </w:r>
      <w:r>
        <w:rPr>
          <w:rFonts w:hint="eastAsia" w:ascii="仿宋_GB2312" w:hAnsi="仿宋" w:eastAsia="仿宋_GB2312" w:cs="仿宋"/>
          <w:b w:val="0"/>
          <w:bCs w:val="0"/>
          <w:color w:val="auto"/>
          <w:sz w:val="32"/>
          <w:szCs w:val="32"/>
        </w:rPr>
        <w:t>（</w:t>
      </w:r>
      <w:r>
        <w:rPr>
          <w:rFonts w:hint="eastAsia" w:ascii="仿宋_GB2312" w:hAnsi="仿宋" w:eastAsia="仿宋_GB2312" w:cs="仿宋"/>
          <w:b w:val="0"/>
          <w:bCs w:val="0"/>
          <w:color w:val="auto"/>
          <w:sz w:val="32"/>
          <w:szCs w:val="32"/>
          <w:lang w:eastAsia="zh-CN"/>
        </w:rPr>
        <w:t>居</w:t>
      </w:r>
      <w:r>
        <w:rPr>
          <w:rFonts w:hint="eastAsia" w:ascii="仿宋_GB2312" w:hAnsi="仿宋" w:eastAsia="仿宋_GB2312" w:cs="仿宋"/>
          <w:b w:val="0"/>
          <w:bCs w:val="0"/>
          <w:color w:val="auto"/>
          <w:sz w:val="32"/>
          <w:szCs w:val="32"/>
        </w:rPr>
        <w:t>）</w:t>
      </w:r>
      <w:r>
        <w:rPr>
          <w:rFonts w:hint="eastAsia" w:ascii="仿宋_GB2312" w:hAnsi="仿宋" w:eastAsia="仿宋_GB2312" w:cs="仿宋"/>
          <w:b w:val="0"/>
          <w:bCs w:val="0"/>
          <w:color w:val="auto"/>
          <w:sz w:val="32"/>
          <w:szCs w:val="32"/>
          <w:lang w:eastAsia="zh-CN"/>
        </w:rPr>
        <w:t>民自建房</w:t>
      </w:r>
      <w:r>
        <w:rPr>
          <w:rFonts w:hint="eastAsia" w:ascii="仿宋_GB2312" w:hAnsi="仿宋" w:eastAsia="仿宋_GB2312" w:cs="仿宋"/>
          <w:color w:val="auto"/>
          <w:sz w:val="32"/>
          <w:szCs w:val="32"/>
        </w:rPr>
        <w:t>建设附建式电动自行车充电棚时，宜设在楼栋山墙、巷尾等室外适当部位。</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第十二条 </w:t>
      </w:r>
      <w:r>
        <w:rPr>
          <w:rFonts w:hint="eastAsia" w:ascii="仿宋_GB2312" w:hAnsi="仿宋" w:eastAsia="仿宋_GB2312" w:cs="仿宋"/>
          <w:color w:val="auto"/>
          <w:sz w:val="32"/>
          <w:szCs w:val="32"/>
        </w:rPr>
        <w:t>厂区电动自行车停放充电场所宜布置在办公、生活等非生产区域，不应与甲、乙类火灾危险性厂、仓库贴邻或组合建造。</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第十三条</w:t>
      </w:r>
      <w:r>
        <w:rPr>
          <w:rFonts w:hint="eastAsia" w:ascii="仿宋_GB2312" w:hAnsi="仿宋" w:eastAsia="仿宋_GB2312" w:cs="仿宋"/>
          <w:color w:val="auto"/>
          <w:sz w:val="32"/>
          <w:szCs w:val="32"/>
        </w:rPr>
        <w:t xml:space="preserve"> 电动自行车停放充电场所当与汽车库、汽车停车场等合用时，应集中划分电动自行车停放充电区域，且应与其他部位采取防火分隔措施。</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第十四条</w:t>
      </w:r>
      <w:r>
        <w:rPr>
          <w:rFonts w:hint="eastAsia" w:ascii="仿宋_GB2312" w:hAnsi="仿宋" w:eastAsia="仿宋_GB2312" w:cs="仿宋"/>
          <w:b/>
          <w:color w:val="auto"/>
          <w:sz w:val="32"/>
          <w:szCs w:val="32"/>
          <w:lang w:val="en-US" w:eastAsia="zh-CN"/>
        </w:rPr>
        <w:t xml:space="preserve"> </w:t>
      </w:r>
      <w:r>
        <w:rPr>
          <w:rFonts w:hint="eastAsia" w:ascii="仿宋_GB2312" w:hAnsi="仿宋" w:eastAsia="仿宋_GB2312" w:cs="仿宋"/>
          <w:color w:val="auto"/>
          <w:sz w:val="32"/>
          <w:szCs w:val="32"/>
        </w:rPr>
        <w:t>独立电动自行车停放充电场所按一般民用建筑核定；设置在民用建筑内部的电动自行车停放充电场所按非机动车库核定。</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第十五条 </w:t>
      </w:r>
      <w:r>
        <w:rPr>
          <w:rFonts w:hint="eastAsia" w:ascii="仿宋_GB2312" w:hAnsi="仿宋" w:eastAsia="仿宋_GB2312" w:cs="仿宋"/>
          <w:color w:val="auto"/>
          <w:sz w:val="32"/>
          <w:szCs w:val="32"/>
        </w:rPr>
        <w:t>建筑小区内所设置电动自行车停放充电场应方便使用，服务半径不宜大于 200m。</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 xml:space="preserve">第十六条 </w:t>
      </w:r>
      <w:r>
        <w:rPr>
          <w:rFonts w:hint="eastAsia" w:ascii="仿宋_GB2312" w:hAnsi="仿宋" w:eastAsia="仿宋_GB2312" w:cs="仿宋"/>
          <w:color w:val="auto"/>
          <w:sz w:val="32"/>
          <w:szCs w:val="32"/>
        </w:rPr>
        <w:t>电动自行车停放充电场所宜采取有效的防雷、排水等措施；室外设置电动自行车充电场所时，宜采用有顶棚结构及其它有效的防雨措施。</w:t>
      </w:r>
    </w:p>
    <w:p>
      <w:pPr>
        <w:spacing w:line="600" w:lineRule="exact"/>
        <w:ind w:firstLine="643"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eastAsia="zh-CN"/>
        </w:rPr>
        <w:t>第</w:t>
      </w:r>
      <w:r>
        <w:rPr>
          <w:rFonts w:hint="eastAsia" w:ascii="仿宋_GB2312" w:hAnsi="仿宋" w:eastAsia="仿宋_GB2312" w:cs="仿宋"/>
          <w:b/>
          <w:bCs/>
          <w:color w:val="auto"/>
          <w:sz w:val="32"/>
          <w:szCs w:val="32"/>
          <w:lang w:val="en-US" w:eastAsia="zh-CN"/>
        </w:rPr>
        <w:t>十七</w:t>
      </w:r>
      <w:r>
        <w:rPr>
          <w:rFonts w:hint="eastAsia" w:ascii="仿宋_GB2312" w:hAnsi="仿宋" w:eastAsia="仿宋_GB2312" w:cs="仿宋"/>
          <w:b/>
          <w:bCs/>
          <w:color w:val="auto"/>
          <w:sz w:val="32"/>
          <w:szCs w:val="32"/>
          <w:lang w:eastAsia="zh-CN"/>
        </w:rPr>
        <w:t>条</w:t>
      </w:r>
      <w:r>
        <w:rPr>
          <w:rFonts w:hint="eastAsia" w:ascii="仿宋_GB2312" w:hAnsi="仿宋" w:eastAsia="仿宋_GB2312" w:cs="仿宋"/>
          <w:color w:val="auto"/>
          <w:sz w:val="32"/>
          <w:szCs w:val="32"/>
          <w:lang w:val="en-US" w:eastAsia="zh-CN"/>
        </w:rPr>
        <w:t xml:space="preserve"> 对无固定停放场所、场地资源紧张的居住小区或者城中村，由所在镇街召集相关部门会商同意后，可依法依规对小区周边有条件的公共场所进行集约利用，建设公用充电设施。</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三、防火分隔和建筑构造</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第十</w:t>
      </w:r>
      <w:r>
        <w:rPr>
          <w:rFonts w:hint="eastAsia" w:ascii="仿宋_GB2312" w:hAnsi="仿宋" w:eastAsia="仿宋_GB2312" w:cs="仿宋"/>
          <w:b/>
          <w:color w:val="auto"/>
          <w:sz w:val="32"/>
          <w:szCs w:val="32"/>
          <w:lang w:eastAsia="zh-CN"/>
        </w:rPr>
        <w:t>八</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电动自行车停放充电场所与相邻多层建筑的防火间距不应小</w:t>
      </w:r>
      <w:r>
        <w:rPr>
          <w:rFonts w:hint="eastAsia" w:ascii="仿宋_GB2312" w:hAnsi="仿宋" w:eastAsia="仿宋_GB2312" w:cs="仿宋"/>
          <w:b w:val="0"/>
          <w:bCs w:val="0"/>
          <w:color w:val="auto"/>
          <w:sz w:val="32"/>
          <w:szCs w:val="32"/>
        </w:rPr>
        <w:t>于</w:t>
      </w:r>
      <w:r>
        <w:rPr>
          <w:rFonts w:hint="eastAsia" w:ascii="仿宋_GB2312" w:hAnsi="仿宋" w:eastAsia="仿宋_GB2312" w:cs="仿宋"/>
          <w:b w:val="0"/>
          <w:bCs w:val="0"/>
          <w:color w:val="auto"/>
          <w:sz w:val="32"/>
          <w:szCs w:val="32"/>
          <w:lang w:val="en-US" w:eastAsia="zh-CN"/>
        </w:rPr>
        <w:t>6</w:t>
      </w:r>
      <w:r>
        <w:rPr>
          <w:rFonts w:hint="eastAsia" w:ascii="仿宋_GB2312" w:hAnsi="仿宋" w:eastAsia="仿宋_GB2312" w:cs="仿宋"/>
          <w:b w:val="0"/>
          <w:bCs w:val="0"/>
          <w:color w:val="auto"/>
          <w:sz w:val="32"/>
          <w:szCs w:val="32"/>
        </w:rPr>
        <w:t>.0m，与高层建筑的防火间距不应小于13.0m，防火间距可按照《建筑设计防火规范》GB 50016表5.2.2注的规定采取技术措施进行折减。</w:t>
      </w:r>
      <w:r>
        <w:rPr>
          <w:rFonts w:hint="eastAsia" w:ascii="仿宋_GB2312" w:hAnsi="仿宋" w:eastAsia="仿宋_GB2312" w:cs="仿宋"/>
          <w:b w:val="0"/>
          <w:bCs w:val="0"/>
          <w:color w:val="auto"/>
          <w:sz w:val="32"/>
          <w:szCs w:val="32"/>
          <w:lang w:eastAsia="zh-CN"/>
        </w:rPr>
        <w:t>满足</w:t>
      </w:r>
      <w:r>
        <w:rPr>
          <w:rFonts w:hint="eastAsia" w:ascii="仿宋_GB2312" w:hAnsi="仿宋" w:eastAsia="仿宋_GB2312" w:cs="仿宋"/>
          <w:b w:val="0"/>
          <w:bCs w:val="0"/>
          <w:color w:val="auto"/>
          <w:sz w:val="32"/>
          <w:szCs w:val="32"/>
        </w:rPr>
        <w:t>《建筑设计防火规范》GB 50016表5.2.</w:t>
      </w:r>
      <w:r>
        <w:rPr>
          <w:rFonts w:hint="eastAsia" w:ascii="仿宋_GB2312" w:hAnsi="仿宋" w:eastAsia="仿宋_GB2312" w:cs="仿宋"/>
          <w:b w:val="0"/>
          <w:bCs w:val="0"/>
          <w:color w:val="auto"/>
          <w:sz w:val="32"/>
          <w:szCs w:val="32"/>
          <w:lang w:val="en-US" w:eastAsia="zh-CN"/>
        </w:rPr>
        <w:t>4成组布置要求的，防火间距不应小于4.0m。</w:t>
      </w:r>
      <w:r>
        <w:rPr>
          <w:rFonts w:hint="eastAsia" w:ascii="仿宋_GB2312" w:hAnsi="仿宋" w:eastAsia="仿宋_GB2312" w:cs="仿宋"/>
          <w:b w:val="0"/>
          <w:bCs w:val="0"/>
          <w:color w:val="auto"/>
          <w:sz w:val="32"/>
          <w:szCs w:val="32"/>
        </w:rPr>
        <w:t>确需与住宅建筑贴</w:t>
      </w:r>
      <w:r>
        <w:rPr>
          <w:rFonts w:hint="eastAsia" w:ascii="仿宋_GB2312" w:hAnsi="仿宋" w:eastAsia="仿宋_GB2312" w:cs="仿宋"/>
          <w:color w:val="auto"/>
          <w:sz w:val="32"/>
          <w:szCs w:val="32"/>
        </w:rPr>
        <w:t>邻时，住宅建筑与室外电动自行车停放充电场所贴邻的外墙2.0m范围内不应开设有门、窗、洞口。</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第十</w:t>
      </w:r>
      <w:r>
        <w:rPr>
          <w:rFonts w:hint="eastAsia" w:ascii="仿宋_GB2312" w:hAnsi="仿宋" w:eastAsia="仿宋_GB2312" w:cs="仿宋"/>
          <w:b/>
          <w:color w:val="auto"/>
          <w:sz w:val="32"/>
          <w:szCs w:val="32"/>
          <w:lang w:eastAsia="zh-CN"/>
        </w:rPr>
        <w:t>九</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室内电动自行车停放充电场所外墙上、下层开口之间应设置高度不小于 1.2m 的实体墙或挑出宽度不小于 1.0m、长度不小于开口宽度的防火挑檐。实体墙、防火挑檐的耐火极限和燃烧性能均不应低于建筑外墙。</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w:t>
      </w:r>
      <w:r>
        <w:rPr>
          <w:rFonts w:hint="eastAsia" w:ascii="仿宋_GB2312" w:hAnsi="仿宋" w:eastAsia="仿宋_GB2312" w:cs="仿宋"/>
          <w:b/>
          <w:color w:val="auto"/>
          <w:sz w:val="32"/>
          <w:szCs w:val="32"/>
          <w:lang w:eastAsia="zh-CN"/>
        </w:rPr>
        <w:t>二十</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独立建造的室外电动自行车停放充电场所设置防风雨棚不应完全封闭，四周开口部位应均匀布置，开口面积应大于四周总面积的50%，开口区域长度不应小于周长的50%。防风雨棚的材料燃烧性能等级不应低于B1级。</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一</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与建筑贴邻建设的室外电动自行车停放充电场所，贴邻部位应为不开设门、窗、洞口的防火墙。确有困难的，应采用耐火极限不低于2.00h的不燃烧体墙。</w:t>
      </w:r>
    </w:p>
    <w:p>
      <w:pPr>
        <w:spacing w:line="600" w:lineRule="exact"/>
        <w:ind w:firstLine="640" w:firstLineChars="200"/>
        <w:rPr>
          <w:rFonts w:hint="eastAsia" w:ascii="仿宋" w:hAnsi="仿宋" w:eastAsia="仿宋"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四、平面布置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二</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电动自行车停放充电场应划线限定停车场范围，停车位应分组布置，每组长度不宜大于25.0 m，组与组之间应设置间距不小于2.0 m的隔离带，或采用高度不低于1.5m、耐火极限不低于1.00 h的不燃烧体隔断分隔。</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三</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停车位数量大于200辆时，停车场出入口应不少于2个，两个出入口之间的距离不应小于5.0 m，出入口净宽度不应小于2.0 m。</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四</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电动自行车应相对集中地有序停放。每辆电动自行车停车位可按长 2.0m、宽0.6m 计。</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五、安全疏散</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五</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所的安全出口应采用向疏散方向开启、净宽不小于1.4m的平开门，并确保人员在火灾时易于从内部打开。当设置门禁系统时，应采取确认火灾后由火灾自动报警系统联动开启疏散门或断电开启疏散门，也可以在显著位置设置紧急开门装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六</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电动自行车停放充电场所内任一点至最近安全出口的直线距离不应低于 22m；当场所内全部设置自动喷水灭火系统保护时，场所内任一点至最近安全出口的直线距离不应低于 27.5m。</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六、消防设施和器材</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七</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电动自行车停放充电场所应设置消火栓系统。消火栓水枪充实水柱不应小于10m，同层相邻的消火栓间距不应大于50m，应保证消火栓水枪的两股充实水柱能够到达场所内任何部位。</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八</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有防风雨棚的室外电动自行车停放充电场所和室内电动自行车停放充电场所宜安装自动喷水灭火系统，火灾危险等级按中危险 I 级确定。条件有限的，可安装简易水喷淋系统或其他自动灭火设施。</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第二十</w:t>
      </w:r>
      <w:r>
        <w:rPr>
          <w:rFonts w:hint="eastAsia" w:ascii="仿宋_GB2312" w:hAnsi="仿宋" w:eastAsia="仿宋_GB2312" w:cs="仿宋"/>
          <w:b/>
          <w:color w:val="auto"/>
          <w:sz w:val="32"/>
          <w:szCs w:val="32"/>
          <w:lang w:eastAsia="zh-CN"/>
        </w:rPr>
        <w:t>九</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电动自行车停放充电场所应按民用建筑严重危险级配置灭火器，并宜选用磷酸铵盐干粉灭火器，每100m</w:t>
      </w:r>
      <w:r>
        <w:rPr>
          <w:rFonts w:hint="eastAsia" w:ascii="仿宋_GB2312" w:hAnsi="仿宋" w:eastAsia="仿宋_GB2312" w:cs="仿宋"/>
          <w:color w:val="auto"/>
          <w:sz w:val="32"/>
          <w:szCs w:val="32"/>
          <w:vertAlign w:val="superscript"/>
        </w:rPr>
        <w:t>2</w:t>
      </w:r>
      <w:r>
        <w:rPr>
          <w:rFonts w:hint="eastAsia" w:ascii="仿宋_GB2312" w:hAnsi="仿宋" w:eastAsia="仿宋_GB2312" w:cs="仿宋"/>
          <w:color w:val="auto"/>
          <w:sz w:val="32"/>
          <w:szCs w:val="32"/>
        </w:rPr>
        <w:t xml:space="preserve"> 应配置不少于2具5kg及以上的干粉灭火器。灭火器应设置在位置明显和便于取用的地点，且不得影响安全疏散。</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w:t>
      </w:r>
      <w:r>
        <w:rPr>
          <w:rFonts w:hint="eastAsia" w:ascii="仿宋_GB2312" w:hAnsi="仿宋" w:eastAsia="仿宋_GB2312" w:cs="仿宋"/>
          <w:b/>
          <w:color w:val="auto"/>
          <w:sz w:val="32"/>
          <w:szCs w:val="32"/>
          <w:lang w:eastAsia="zh-CN"/>
        </w:rPr>
        <w:t>三</w:t>
      </w:r>
      <w:r>
        <w:rPr>
          <w:rFonts w:hint="eastAsia" w:ascii="仿宋_GB2312" w:hAnsi="仿宋" w:eastAsia="仿宋_GB2312" w:cs="仿宋"/>
          <w:b/>
          <w:color w:val="auto"/>
          <w:sz w:val="32"/>
          <w:szCs w:val="32"/>
        </w:rPr>
        <w:t xml:space="preserve">十条 </w:t>
      </w:r>
      <w:r>
        <w:rPr>
          <w:rFonts w:hint="eastAsia" w:ascii="仿宋_GB2312" w:hAnsi="仿宋" w:eastAsia="仿宋_GB2312" w:cs="仿宋"/>
          <w:color w:val="auto"/>
          <w:sz w:val="32"/>
          <w:szCs w:val="32"/>
        </w:rPr>
        <w:t>未设置火灾自动报警系统的室内电动自行车停放充电场所应安装独立式感烟火灾探测报警器，有条件的可采用具备无线通讯功能的独立式感烟火灾探测报警器。</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一</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室内电动自行车停放充电场所应按照现行国家标准《建筑设计防火规范》GB50016、《建筑防烟排烟系统设计标准》GB51251等标准要求设置排烟设施。</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七、电气安全</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二</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电动自行车的充电设备应具备限时充电、自动断电、故障报警、过载保护、短路保护和漏电保护等功能，线路应采用阻燃或难燃低烟无卤型线缆。</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三</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电动自行车的充电设备应设专用配电箱，箱体防护等级应不低于 IP56（考虑灭火过程中的直流射水可能，建议按ip56要求），电气线路从箱体下方进出。配电箱应设总开关电器，设置在便于操作的位置。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四</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配电箱、充电线路及充电插座等应安装在不燃烧材料上。配电线路不应直敷布线，可穿金属导管（槽）、B1级刚性塑料套管（槽）敷设，如需从地面穿过，应埋地布置。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五</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 xml:space="preserve">室内和有防风雨棚电动自行车停放充电场所应设置消防应急照明和安全疏散指示系统，且系统形式应与所在主体建筑一致；单独建设的电动自行车停放充电场所宜选用非集中控制型系统，灯具宜采用A型灯具。 </w:t>
      </w:r>
    </w:p>
    <w:p>
      <w:pPr>
        <w:spacing w:line="600" w:lineRule="exact"/>
        <w:ind w:firstLine="640" w:firstLineChars="200"/>
        <w:rPr>
          <w:rFonts w:hint="eastAsia" w:ascii="仿宋_GB2312" w:hAnsi="仿宋" w:eastAsia="仿宋_GB2312" w:cs="仿宋"/>
          <w:color w:val="auto"/>
          <w:sz w:val="32"/>
          <w:szCs w:val="32"/>
        </w:rPr>
      </w:pPr>
    </w:p>
    <w:p>
      <w:pPr>
        <w:spacing w:line="6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八、充电装置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六</w:t>
      </w:r>
      <w:r>
        <w:rPr>
          <w:rFonts w:hint="eastAsia" w:ascii="仿宋_GB2312" w:hAnsi="仿宋" w:eastAsia="仿宋_GB2312" w:cs="仿宋"/>
          <w:b/>
          <w:color w:val="auto"/>
          <w:sz w:val="32"/>
          <w:szCs w:val="32"/>
        </w:rPr>
        <w:t>条</w:t>
      </w:r>
      <w:r>
        <w:rPr>
          <w:rFonts w:hint="eastAsia" w:ascii="仿宋_GB2312" w:hAnsi="仿宋" w:eastAsia="仿宋_GB2312" w:cs="仿宋"/>
          <w:color w:val="auto"/>
          <w:sz w:val="32"/>
          <w:szCs w:val="32"/>
        </w:rPr>
        <w:t xml:space="preserve"> 每个充电装置应集控制、通信电路与供电插座于一体（即组装在一个壳体内），供电插座应为单相两级和三级组合插座，每个插座都必须具备3C认证。单个充电装置最多不超过2个供电插座。</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七</w:t>
      </w:r>
      <w:r>
        <w:rPr>
          <w:rFonts w:hint="eastAsia" w:ascii="仿宋_GB2312" w:hAnsi="仿宋" w:eastAsia="仿宋_GB2312" w:cs="仿宋"/>
          <w:b/>
          <w:color w:val="auto"/>
          <w:sz w:val="32"/>
          <w:szCs w:val="32"/>
        </w:rPr>
        <w:t>条</w:t>
      </w:r>
      <w:r>
        <w:rPr>
          <w:rFonts w:hint="eastAsia" w:ascii="仿宋_GB2312" w:hAnsi="仿宋" w:eastAsia="仿宋_GB2312" w:cs="仿宋"/>
          <w:color w:val="auto"/>
          <w:sz w:val="32"/>
          <w:szCs w:val="32"/>
        </w:rPr>
        <w:t xml:space="preserve"> 当设置充电插座时，每只充电插座同一时刻只允许为一辆电动自行车充电。</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八</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充电插座应为单相“两孔+三孔”10A 安全型，且宜自带过流保护熔断器。</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第三十</w:t>
      </w:r>
      <w:r>
        <w:rPr>
          <w:rFonts w:hint="eastAsia" w:ascii="仿宋_GB2312" w:hAnsi="仿宋" w:eastAsia="仿宋_GB2312" w:cs="仿宋"/>
          <w:b/>
          <w:color w:val="auto"/>
          <w:sz w:val="32"/>
          <w:szCs w:val="32"/>
          <w:lang w:eastAsia="zh-CN"/>
        </w:rPr>
        <w:t>九</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充电插座宜在墙上、柱上或支架上安装，底边距地高度宜为0.5-1.3m。在同一布置面上，充电插座安装高度应保持一致。</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w:t>
      </w:r>
      <w:r>
        <w:rPr>
          <w:rFonts w:hint="eastAsia" w:ascii="仿宋_GB2312" w:hAnsi="仿宋" w:eastAsia="仿宋_GB2312" w:cs="仿宋"/>
          <w:b/>
          <w:color w:val="auto"/>
          <w:sz w:val="32"/>
          <w:szCs w:val="32"/>
          <w:lang w:eastAsia="zh-CN"/>
        </w:rPr>
        <w:t>四</w:t>
      </w:r>
      <w:r>
        <w:rPr>
          <w:rFonts w:hint="eastAsia" w:ascii="仿宋_GB2312" w:hAnsi="仿宋" w:eastAsia="仿宋_GB2312" w:cs="仿宋"/>
          <w:b/>
          <w:color w:val="auto"/>
          <w:sz w:val="32"/>
          <w:szCs w:val="32"/>
        </w:rPr>
        <w:t xml:space="preserve">十条 </w:t>
      </w:r>
      <w:r>
        <w:rPr>
          <w:rFonts w:hint="eastAsia" w:ascii="仿宋_GB2312" w:hAnsi="仿宋" w:eastAsia="仿宋_GB2312" w:cs="仿宋"/>
          <w:color w:val="auto"/>
          <w:sz w:val="32"/>
          <w:szCs w:val="32"/>
        </w:rPr>
        <w:t>电动自行车停放场所的充电设施数量应能满足日常充电需求，宜选用智能计量计费和远程监控模式。</w:t>
      </w:r>
    </w:p>
    <w:p>
      <w:pPr>
        <w:spacing w:line="600" w:lineRule="exact"/>
        <w:ind w:firstLine="643"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eastAsia="zh-CN"/>
        </w:rPr>
        <w:t>第</w:t>
      </w:r>
      <w:r>
        <w:rPr>
          <w:rFonts w:hint="eastAsia" w:ascii="仿宋_GB2312" w:hAnsi="仿宋" w:eastAsia="仿宋_GB2312" w:cs="仿宋"/>
          <w:b/>
          <w:bCs/>
          <w:color w:val="auto"/>
          <w:sz w:val="32"/>
          <w:szCs w:val="32"/>
          <w:lang w:val="en-US" w:eastAsia="zh-CN"/>
        </w:rPr>
        <w:t>四十一</w:t>
      </w:r>
      <w:r>
        <w:rPr>
          <w:rFonts w:hint="eastAsia" w:ascii="仿宋_GB2312" w:hAnsi="仿宋" w:eastAsia="仿宋_GB2312" w:cs="仿宋"/>
          <w:b/>
          <w:bCs/>
          <w:color w:val="auto"/>
          <w:sz w:val="32"/>
          <w:szCs w:val="32"/>
          <w:lang w:eastAsia="zh-CN"/>
        </w:rPr>
        <w:t>条</w:t>
      </w:r>
      <w:r>
        <w:rPr>
          <w:rFonts w:hint="eastAsia" w:ascii="仿宋_GB2312" w:hAnsi="仿宋" w:eastAsia="仿宋_GB2312" w:cs="仿宋"/>
          <w:b/>
          <w:bCs/>
          <w:color w:val="auto"/>
          <w:sz w:val="32"/>
          <w:szCs w:val="32"/>
          <w:lang w:val="en-US" w:eastAsia="zh-CN"/>
        </w:rPr>
        <w:t xml:space="preserve"> </w:t>
      </w:r>
      <w:r>
        <w:rPr>
          <w:rFonts w:hint="eastAsia" w:ascii="仿宋_GB2312" w:hAnsi="仿宋" w:eastAsia="仿宋_GB2312" w:cs="仿宋"/>
          <w:color w:val="auto"/>
          <w:sz w:val="32"/>
          <w:szCs w:val="32"/>
          <w:lang w:val="en-US" w:eastAsia="zh-CN"/>
        </w:rPr>
        <w:t>要因地制宜，大力推进居住区充电设施建设全覆盖，鼓励推广更具安全性的换电柜或充电桩等充电装置的建设。</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第四十</w:t>
      </w:r>
      <w:r>
        <w:rPr>
          <w:rFonts w:hint="eastAsia" w:ascii="仿宋_GB2312" w:hAnsi="仿宋" w:eastAsia="仿宋_GB2312" w:cs="仿宋"/>
          <w:b/>
          <w:bCs/>
          <w:color w:val="auto"/>
          <w:sz w:val="32"/>
          <w:szCs w:val="32"/>
          <w:lang w:eastAsia="zh-CN"/>
        </w:rPr>
        <w:t>二</w:t>
      </w:r>
      <w:r>
        <w:rPr>
          <w:rFonts w:hint="eastAsia" w:ascii="仿宋_GB2312" w:hAnsi="仿宋" w:eastAsia="仿宋_GB2312" w:cs="仿宋"/>
          <w:b/>
          <w:bCs/>
          <w:color w:val="auto"/>
          <w:sz w:val="32"/>
          <w:szCs w:val="32"/>
        </w:rPr>
        <w:t>条</w:t>
      </w:r>
      <w:r>
        <w:rPr>
          <w:rFonts w:hint="eastAsia" w:ascii="仿宋_GB2312" w:hAnsi="仿宋" w:eastAsia="仿宋_GB2312" w:cs="仿宋"/>
          <w:color w:val="auto"/>
          <w:sz w:val="32"/>
          <w:szCs w:val="32"/>
        </w:rPr>
        <w:t xml:space="preserve"> 充电装置应有防雷设计，设备能有效防止雷击，保护设备和负载不受损坏。</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第四十</w:t>
      </w:r>
      <w:r>
        <w:rPr>
          <w:rFonts w:hint="eastAsia" w:ascii="仿宋_GB2312" w:hAnsi="仿宋" w:eastAsia="仿宋_GB2312" w:cs="仿宋"/>
          <w:b/>
          <w:bCs/>
          <w:color w:val="auto"/>
          <w:sz w:val="32"/>
          <w:szCs w:val="32"/>
          <w:lang w:eastAsia="zh-CN"/>
        </w:rPr>
        <w:t>三</w:t>
      </w:r>
      <w:r>
        <w:rPr>
          <w:rFonts w:hint="eastAsia" w:ascii="仿宋_GB2312" w:hAnsi="仿宋" w:eastAsia="仿宋_GB2312" w:cs="仿宋"/>
          <w:b/>
          <w:bCs/>
          <w:color w:val="auto"/>
          <w:sz w:val="32"/>
          <w:szCs w:val="32"/>
        </w:rPr>
        <w:t>条</w:t>
      </w:r>
      <w:r>
        <w:rPr>
          <w:rFonts w:hint="eastAsia" w:ascii="仿宋_GB2312" w:hAnsi="仿宋" w:eastAsia="仿宋_GB2312" w:cs="仿宋"/>
          <w:color w:val="auto"/>
          <w:sz w:val="32"/>
          <w:szCs w:val="32"/>
        </w:rPr>
        <w:t xml:space="preserve"> 充电装置具备功率检测计量单元，自动检测充电功率、电流变化，可防止电池过充变形，从而延长电池寿命。</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第四十</w:t>
      </w:r>
      <w:r>
        <w:rPr>
          <w:rFonts w:hint="eastAsia" w:ascii="仿宋_GB2312" w:hAnsi="仿宋" w:eastAsia="仿宋_GB2312" w:cs="仿宋"/>
          <w:b/>
          <w:bCs/>
          <w:color w:val="auto"/>
          <w:sz w:val="32"/>
          <w:szCs w:val="32"/>
          <w:lang w:eastAsia="zh-CN"/>
        </w:rPr>
        <w:t>四</w:t>
      </w:r>
      <w:r>
        <w:rPr>
          <w:rFonts w:hint="eastAsia" w:ascii="仿宋_GB2312" w:hAnsi="仿宋" w:eastAsia="仿宋_GB2312" w:cs="仿宋"/>
          <w:b/>
          <w:bCs/>
          <w:color w:val="auto"/>
          <w:sz w:val="32"/>
          <w:szCs w:val="32"/>
        </w:rPr>
        <w:t>条</w:t>
      </w:r>
      <w:r>
        <w:rPr>
          <w:rFonts w:hint="eastAsia" w:ascii="仿宋_GB2312" w:hAnsi="仿宋" w:eastAsia="仿宋_GB2312" w:cs="仿宋"/>
          <w:color w:val="auto"/>
          <w:sz w:val="32"/>
          <w:szCs w:val="32"/>
        </w:rPr>
        <w:t xml:space="preserve"> 充电装置配备指示灯，包括但不限于通信、网络、充电等类型的不同信号指示灯。</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rPr>
        <w:t>第四十</w:t>
      </w:r>
      <w:r>
        <w:rPr>
          <w:rFonts w:hint="eastAsia" w:ascii="仿宋_GB2312" w:hAnsi="仿宋" w:eastAsia="仿宋_GB2312" w:cs="仿宋"/>
          <w:b/>
          <w:bCs/>
          <w:color w:val="auto"/>
          <w:sz w:val="32"/>
          <w:szCs w:val="32"/>
          <w:lang w:eastAsia="zh-CN"/>
        </w:rPr>
        <w:t>五</w:t>
      </w:r>
      <w:r>
        <w:rPr>
          <w:rFonts w:hint="eastAsia" w:ascii="仿宋_GB2312" w:hAnsi="仿宋" w:eastAsia="仿宋_GB2312" w:cs="仿宋"/>
          <w:b/>
          <w:bCs/>
          <w:color w:val="auto"/>
          <w:sz w:val="32"/>
          <w:szCs w:val="32"/>
        </w:rPr>
        <w:t>条</w:t>
      </w:r>
      <w:r>
        <w:rPr>
          <w:rFonts w:hint="eastAsia" w:ascii="仿宋_GB2312" w:hAnsi="仿宋" w:eastAsia="仿宋_GB2312" w:cs="仿宋"/>
          <w:color w:val="auto"/>
          <w:sz w:val="32"/>
          <w:szCs w:val="32"/>
        </w:rPr>
        <w:t xml:space="preserve"> 充电装置工作、贮存应满足相应的环境温度、防潮、防尘、防水等相关规定要求。</w:t>
      </w:r>
    </w:p>
    <w:p>
      <w:pPr>
        <w:spacing w:line="600" w:lineRule="exact"/>
        <w:ind w:firstLine="640" w:firstLineChars="200"/>
        <w:rPr>
          <w:rFonts w:hint="eastAsia" w:ascii="仿宋" w:hAnsi="仿宋" w:eastAsia="仿宋" w:cs="仿宋"/>
          <w:color w:val="auto"/>
          <w:sz w:val="32"/>
          <w:szCs w:val="32"/>
        </w:rPr>
      </w:pPr>
    </w:p>
    <w:p>
      <w:pPr>
        <w:spacing w:line="600" w:lineRule="exact"/>
        <w:jc w:val="center"/>
        <w:rPr>
          <w:rFonts w:hint="eastAsia" w:ascii="仿宋" w:hAnsi="仿宋" w:eastAsia="仿宋" w:cs="仿宋"/>
          <w:color w:val="auto"/>
          <w:sz w:val="32"/>
          <w:szCs w:val="32"/>
        </w:rPr>
      </w:pPr>
      <w:r>
        <w:rPr>
          <w:rFonts w:hint="eastAsia" w:ascii="黑体" w:hAnsi="黑体" w:eastAsia="黑体" w:cs="黑体"/>
          <w:color w:val="auto"/>
          <w:sz w:val="32"/>
          <w:szCs w:val="32"/>
        </w:rPr>
        <w:t>九、安全管理及日常维护</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第四十</w:t>
      </w:r>
      <w:r>
        <w:rPr>
          <w:rFonts w:hint="eastAsia" w:ascii="仿宋_GB2312" w:hAnsi="仿宋" w:eastAsia="仿宋_GB2312" w:cs="仿宋"/>
          <w:b/>
          <w:color w:val="auto"/>
          <w:sz w:val="32"/>
          <w:szCs w:val="32"/>
          <w:lang w:eastAsia="zh-CN"/>
        </w:rPr>
        <w:t>六</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机关、团体、企业、事业单位负责本单位电动自行车停放充电场所的安全管理工作，明确管理责任单位和责任人。</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第四十</w:t>
      </w:r>
      <w:r>
        <w:rPr>
          <w:rFonts w:hint="eastAsia" w:ascii="仿宋_GB2312" w:hAnsi="仿宋" w:eastAsia="仿宋_GB2312" w:cs="仿宋"/>
          <w:b/>
          <w:color w:val="auto"/>
          <w:sz w:val="32"/>
          <w:szCs w:val="32"/>
          <w:lang w:eastAsia="zh-CN"/>
        </w:rPr>
        <w:t>七</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有物业企业入驻服务的，业主委员会或小区党组织应根据小区实际明确物业服务企业或充电设施建设</w:t>
      </w:r>
      <w:r>
        <w:rPr>
          <w:rFonts w:hint="eastAsia" w:ascii="仿宋_GB2312" w:hAnsi="仿宋" w:eastAsia="仿宋_GB2312" w:cs="仿宋"/>
          <w:color w:val="auto"/>
          <w:sz w:val="32"/>
          <w:szCs w:val="32"/>
          <w:lang w:eastAsia="zh-CN"/>
        </w:rPr>
        <w:t>、运营运维</w:t>
      </w:r>
      <w:r>
        <w:rPr>
          <w:rFonts w:hint="eastAsia" w:ascii="仿宋_GB2312" w:hAnsi="仿宋" w:eastAsia="仿宋_GB2312" w:cs="仿宋"/>
          <w:color w:val="auto"/>
          <w:sz w:val="32"/>
          <w:szCs w:val="32"/>
        </w:rPr>
        <w:t>企业等主体的管理责任，负责巡查和管理工作，发现问题及时处置。</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第四十</w:t>
      </w:r>
      <w:r>
        <w:rPr>
          <w:rFonts w:hint="eastAsia" w:ascii="仿宋_GB2312" w:hAnsi="仿宋" w:eastAsia="仿宋_GB2312" w:cs="仿宋"/>
          <w:b/>
          <w:color w:val="auto"/>
          <w:sz w:val="32"/>
          <w:szCs w:val="32"/>
          <w:lang w:eastAsia="zh-CN"/>
        </w:rPr>
        <w:t>八</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不具备物业服务或未明确管理单位的住宅小区、楼院，由属地社区（村）负责协调和组织相关各方明确电动自行车安全管理主体，确定管理人员，落实管理责任。</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第四十</w:t>
      </w:r>
      <w:r>
        <w:rPr>
          <w:rFonts w:hint="eastAsia" w:ascii="仿宋_GB2312" w:hAnsi="仿宋" w:eastAsia="仿宋_GB2312" w:cs="仿宋"/>
          <w:b/>
          <w:color w:val="auto"/>
          <w:sz w:val="32"/>
          <w:szCs w:val="32"/>
          <w:lang w:eastAsia="zh-CN"/>
        </w:rPr>
        <w:t>九</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乡（镇）人民政府、街道办事处落实属地管理责任，建立辖区电动自行车停放充电场所台账，实现精细管理。</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w:t>
      </w:r>
      <w:r>
        <w:rPr>
          <w:rFonts w:hint="eastAsia" w:ascii="仿宋_GB2312" w:hAnsi="仿宋" w:eastAsia="仿宋_GB2312" w:cs="仿宋"/>
          <w:b/>
          <w:color w:val="auto"/>
          <w:sz w:val="32"/>
          <w:szCs w:val="32"/>
          <w:lang w:eastAsia="zh-CN"/>
        </w:rPr>
        <w:t>五十</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建设单位</w:t>
      </w:r>
      <w:r>
        <w:rPr>
          <w:rFonts w:hint="eastAsia" w:ascii="仿宋_GB2312" w:hAnsi="仿宋" w:eastAsia="仿宋_GB2312" w:cs="仿宋"/>
          <w:b w:val="0"/>
          <w:bCs w:val="0"/>
          <w:color w:val="auto"/>
          <w:sz w:val="32"/>
          <w:szCs w:val="32"/>
          <w:lang w:eastAsia="zh-CN"/>
        </w:rPr>
        <w:t>应具备相关资质，并</w:t>
      </w:r>
      <w:r>
        <w:rPr>
          <w:rFonts w:hint="eastAsia" w:ascii="仿宋_GB2312" w:hAnsi="仿宋" w:eastAsia="仿宋_GB2312" w:cs="仿宋"/>
          <w:b w:val="0"/>
          <w:bCs w:val="0"/>
          <w:color w:val="auto"/>
          <w:sz w:val="32"/>
          <w:szCs w:val="32"/>
        </w:rPr>
        <w:t>认真</w:t>
      </w:r>
      <w:r>
        <w:rPr>
          <w:rFonts w:hint="eastAsia" w:ascii="仿宋_GB2312" w:hAnsi="仿宋" w:eastAsia="仿宋_GB2312" w:cs="仿宋"/>
          <w:color w:val="auto"/>
          <w:sz w:val="32"/>
          <w:szCs w:val="32"/>
        </w:rPr>
        <w:t>落实施工技术、质量、安全生产等管理要求，确保施工质量，避免发生安全事故。</w:t>
      </w:r>
    </w:p>
    <w:p>
      <w:pPr>
        <w:spacing w:line="600" w:lineRule="exact"/>
        <w:ind w:firstLine="643" w:firstLineChars="200"/>
        <w:rPr>
          <w:rFonts w:hint="default" w:ascii="仿宋_GB2312" w:hAnsi="仿宋" w:eastAsia="仿宋_GB2312" w:cs="仿宋"/>
          <w:b w:val="0"/>
          <w:bCs w:val="0"/>
          <w:color w:val="auto"/>
          <w:sz w:val="32"/>
          <w:szCs w:val="32"/>
          <w:lang w:val="en-US" w:eastAsia="zh-CN"/>
        </w:rPr>
      </w:pPr>
      <w:r>
        <w:rPr>
          <w:rFonts w:hint="eastAsia" w:ascii="仿宋_GB2312" w:hAnsi="仿宋" w:eastAsia="仿宋_GB2312" w:cs="仿宋"/>
          <w:b/>
          <w:bCs/>
          <w:color w:val="auto"/>
          <w:sz w:val="32"/>
          <w:szCs w:val="32"/>
          <w:lang w:eastAsia="zh-CN"/>
        </w:rPr>
        <w:t>第五十一条</w:t>
      </w:r>
      <w:r>
        <w:rPr>
          <w:rFonts w:hint="eastAsia" w:ascii="仿宋_GB2312" w:hAnsi="仿宋" w:eastAsia="仿宋_GB2312" w:cs="仿宋"/>
          <w:b/>
          <w:bCs/>
          <w:color w:val="auto"/>
          <w:sz w:val="32"/>
          <w:szCs w:val="32"/>
          <w:lang w:val="en-US" w:eastAsia="zh-CN"/>
        </w:rPr>
        <w:t xml:space="preserve"> </w:t>
      </w:r>
      <w:r>
        <w:rPr>
          <w:rFonts w:hint="eastAsia" w:ascii="仿宋_GB2312" w:hAnsi="仿宋" w:eastAsia="仿宋_GB2312" w:cs="仿宋"/>
          <w:b w:val="0"/>
          <w:bCs w:val="0"/>
          <w:color w:val="auto"/>
          <w:sz w:val="32"/>
          <w:szCs w:val="32"/>
          <w:lang w:val="en-US" w:eastAsia="zh-CN"/>
        </w:rPr>
        <w:t>电动自行车停放充电场所需安装监控设施，并纳入小区24小时监控范围。</w:t>
      </w:r>
    </w:p>
    <w:p>
      <w:pPr>
        <w:spacing w:line="600" w:lineRule="exact"/>
        <w:ind w:firstLine="643" w:firstLineChars="200"/>
        <w:rPr>
          <w:rFonts w:hint="eastAsia" w:ascii="仿宋_GB2312" w:hAnsi="仿宋" w:eastAsia="仿宋_GB2312" w:cs="仿宋"/>
          <w:color w:val="auto"/>
          <w:sz w:val="32"/>
          <w:szCs w:val="32"/>
        </w:rPr>
      </w:pPr>
      <w:r>
        <w:rPr>
          <w:rFonts w:hint="eastAsia" w:ascii="仿宋_GB2312" w:hAnsi="仿宋" w:eastAsia="仿宋_GB2312" w:cs="仿宋"/>
          <w:b/>
          <w:color w:val="auto"/>
          <w:sz w:val="32"/>
          <w:szCs w:val="32"/>
        </w:rPr>
        <w:t>第</w:t>
      </w:r>
      <w:r>
        <w:rPr>
          <w:rFonts w:hint="eastAsia" w:ascii="仿宋_GB2312" w:hAnsi="仿宋" w:eastAsia="仿宋_GB2312" w:cs="仿宋"/>
          <w:b/>
          <w:color w:val="auto"/>
          <w:sz w:val="32"/>
          <w:szCs w:val="32"/>
          <w:lang w:eastAsia="zh-CN"/>
        </w:rPr>
        <w:t>五</w:t>
      </w:r>
      <w:r>
        <w:rPr>
          <w:rFonts w:hint="eastAsia" w:ascii="仿宋_GB2312" w:hAnsi="仿宋" w:eastAsia="仿宋_GB2312" w:cs="仿宋"/>
          <w:b/>
          <w:color w:val="auto"/>
          <w:sz w:val="32"/>
          <w:szCs w:val="32"/>
        </w:rPr>
        <w:t>十</w:t>
      </w:r>
      <w:r>
        <w:rPr>
          <w:rFonts w:hint="eastAsia" w:ascii="仿宋_GB2312" w:hAnsi="仿宋" w:eastAsia="仿宋_GB2312" w:cs="仿宋"/>
          <w:b/>
          <w:color w:val="auto"/>
          <w:sz w:val="32"/>
          <w:szCs w:val="32"/>
          <w:lang w:eastAsia="zh-CN"/>
        </w:rPr>
        <w:t>二</w:t>
      </w:r>
      <w:r>
        <w:rPr>
          <w:rFonts w:hint="eastAsia" w:ascii="仿宋_GB2312" w:hAnsi="仿宋" w:eastAsia="仿宋_GB2312" w:cs="仿宋"/>
          <w:b/>
          <w:color w:val="auto"/>
          <w:sz w:val="32"/>
          <w:szCs w:val="32"/>
        </w:rPr>
        <w:t xml:space="preserve">条 </w:t>
      </w:r>
      <w:r>
        <w:rPr>
          <w:rFonts w:hint="eastAsia" w:ascii="仿宋_GB2312" w:hAnsi="仿宋" w:eastAsia="仿宋_GB2312" w:cs="仿宋"/>
          <w:color w:val="auto"/>
          <w:sz w:val="32"/>
          <w:szCs w:val="32"/>
        </w:rPr>
        <w:t>电动自行车充电设施建设</w:t>
      </w:r>
      <w:r>
        <w:rPr>
          <w:rFonts w:hint="eastAsia" w:ascii="仿宋_GB2312" w:hAnsi="仿宋" w:eastAsia="仿宋_GB2312" w:cs="仿宋"/>
          <w:color w:val="auto"/>
          <w:sz w:val="32"/>
          <w:szCs w:val="32"/>
          <w:lang w:eastAsia="zh-CN"/>
        </w:rPr>
        <w:t>、运营运维</w:t>
      </w:r>
      <w:r>
        <w:rPr>
          <w:rFonts w:hint="eastAsia" w:ascii="仿宋_GB2312" w:hAnsi="仿宋" w:eastAsia="仿宋_GB2312" w:cs="仿宋"/>
          <w:color w:val="auto"/>
          <w:sz w:val="32"/>
          <w:szCs w:val="32"/>
        </w:rPr>
        <w:t>企业应建立电动自行车停放充电场所安全管理制度、日常检修制度，组织人员对电动自行车停放充电场所进行日常检修。</w:t>
      </w:r>
    </w:p>
    <w:p>
      <w:pPr>
        <w:spacing w:line="600" w:lineRule="exact"/>
        <w:ind w:firstLine="640" w:firstLineChars="200"/>
        <w:rPr>
          <w:rFonts w:hint="eastAsia" w:ascii="仿宋_GB2312" w:hAnsi="仿宋" w:eastAsia="仿宋_GB2312" w:cs="仿宋"/>
          <w:color w:val="auto"/>
          <w:sz w:val="32"/>
          <w:szCs w:val="32"/>
        </w:rPr>
      </w:pPr>
    </w:p>
    <w:p>
      <w:pPr>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参照标准</w:t>
      </w:r>
    </w:p>
    <w:p>
      <w:pPr>
        <w:spacing w:line="60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1.《建筑设计防火规范》GB 50016</w:t>
      </w:r>
    </w:p>
    <w:p>
      <w:pPr>
        <w:spacing w:line="60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2.《消防给水及消火栓系统技术规范》GB 50974</w:t>
      </w:r>
    </w:p>
    <w:p>
      <w:pPr>
        <w:spacing w:line="60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3.《火灾自动报警系统设计规范》GB 50116</w:t>
      </w:r>
    </w:p>
    <w:p>
      <w:pPr>
        <w:spacing w:line="60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4.《汽车库、修车库、停车场设计防火规范》GB 50067</w:t>
      </w:r>
    </w:p>
    <w:p>
      <w:pPr>
        <w:spacing w:line="600" w:lineRule="exact"/>
        <w:ind w:firstLine="640" w:firstLineChars="200"/>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5.《建筑灭火器配置设计规范》GB 50140</w:t>
      </w:r>
    </w:p>
    <w:p>
      <w:pPr>
        <w:spacing w:line="600" w:lineRule="exact"/>
        <w:ind w:firstLine="640" w:firstLineChars="200"/>
        <w:rPr>
          <w:rFonts w:hint="eastAsia" w:ascii="仿宋_GB2312" w:hAnsi="仿宋" w:eastAsia="仿宋_GB2312" w:cs="仿宋"/>
          <w:color w:val="auto"/>
          <w:sz w:val="32"/>
          <w:szCs w:val="32"/>
        </w:rPr>
      </w:pPr>
    </w:p>
    <w:p>
      <w:pPr>
        <w:spacing w:line="600" w:lineRule="exact"/>
        <w:ind w:firstLine="640"/>
        <w:rPr>
          <w:rFonts w:hint="eastAsia" w:ascii="黑体" w:hAnsi="黑体" w:eastAsia="黑体" w:cs="仿宋"/>
          <w:color w:val="auto"/>
          <w:sz w:val="32"/>
          <w:szCs w:val="32"/>
          <w:lang w:eastAsia="zh-CN"/>
        </w:rPr>
      </w:pPr>
      <w:r>
        <w:rPr>
          <w:rFonts w:hint="eastAsia" w:ascii="仿宋_GB2312" w:hAnsi="仿宋" w:eastAsia="仿宋_GB2312" w:cs="仿宋"/>
          <w:color w:val="auto"/>
          <w:sz w:val="32"/>
          <w:szCs w:val="32"/>
        </w:rPr>
        <w:br w:type="page"/>
      </w:r>
      <w:r>
        <w:rPr>
          <w:rFonts w:hint="eastAsia" w:ascii="黑体" w:hAnsi="黑体" w:eastAsia="黑体" w:cs="仿宋"/>
          <w:color w:val="auto"/>
          <w:sz w:val="32"/>
          <w:szCs w:val="32"/>
        </w:rPr>
        <w:t>附件</w:t>
      </w:r>
      <w:r>
        <w:rPr>
          <w:rFonts w:hint="eastAsia" w:ascii="黑体" w:hAnsi="黑体" w:eastAsia="黑体" w:cs="仿宋"/>
          <w:color w:val="auto"/>
          <w:sz w:val="32"/>
          <w:szCs w:val="32"/>
          <w:lang w:val="en-US" w:eastAsia="zh-CN"/>
        </w:rPr>
        <w:t>1</w:t>
      </w:r>
    </w:p>
    <w:p>
      <w:pPr>
        <w:spacing w:line="600" w:lineRule="exact"/>
        <w:ind w:firstLine="640"/>
        <w:jc w:val="center"/>
        <w:rPr>
          <w:rFonts w:hint="eastAsia" w:ascii="方正小标宋简体" w:hAnsi="宋体" w:eastAsia="方正小标宋简体"/>
          <w:bCs/>
          <w:color w:val="auto"/>
          <w:sz w:val="44"/>
          <w:szCs w:val="44"/>
        </w:rPr>
      </w:pPr>
    </w:p>
    <w:p>
      <w:pPr>
        <w:spacing w:line="600" w:lineRule="exact"/>
        <w:ind w:firstLine="640"/>
        <w:jc w:val="center"/>
        <w:rPr>
          <w:rFonts w:hint="eastAsia" w:ascii="方正小标宋简体" w:hAnsi="黑体" w:eastAsia="方正小标宋简体" w:cs="黑体"/>
          <w:color w:val="auto"/>
          <w:sz w:val="44"/>
          <w:szCs w:val="44"/>
        </w:rPr>
      </w:pPr>
      <w:r>
        <w:rPr>
          <w:rFonts w:hint="eastAsia" w:ascii="方正小标宋简体" w:hAnsi="宋体" w:eastAsia="方正小标宋简体"/>
          <w:bCs/>
          <w:color w:val="auto"/>
          <w:sz w:val="44"/>
          <w:szCs w:val="44"/>
        </w:rPr>
        <w:t>龙岩市</w:t>
      </w:r>
      <w:r>
        <w:rPr>
          <w:rFonts w:hint="eastAsia" w:ascii="方正小标宋简体" w:hAnsi="黑体" w:eastAsia="方正小标宋简体" w:cs="黑体"/>
          <w:color w:val="auto"/>
          <w:sz w:val="44"/>
          <w:szCs w:val="44"/>
        </w:rPr>
        <w:t>既有建筑</w:t>
      </w:r>
      <w:r>
        <w:rPr>
          <w:rFonts w:hint="eastAsia" w:ascii="方正小标宋简体" w:hAnsi="宋体" w:eastAsia="方正小标宋简体"/>
          <w:bCs/>
          <w:color w:val="auto"/>
          <w:spacing w:val="-20"/>
          <w:sz w:val="44"/>
          <w:szCs w:val="44"/>
        </w:rPr>
        <w:t>电动自行车停放充电场所</w:t>
      </w:r>
      <w:r>
        <w:rPr>
          <w:rFonts w:hint="eastAsia" w:ascii="方正小标宋简体" w:hAnsi="黑体" w:eastAsia="方正小标宋简体" w:cs="黑体"/>
          <w:color w:val="auto"/>
          <w:sz w:val="44"/>
          <w:szCs w:val="44"/>
        </w:rPr>
        <w:t>报装流程</w:t>
      </w:r>
    </w:p>
    <w:p>
      <w:pPr>
        <w:spacing w:line="600" w:lineRule="exact"/>
        <w:jc w:val="center"/>
        <w:rPr>
          <w:rFonts w:hint="eastAsia" w:ascii="仿宋" w:hAnsi="仿宋" w:eastAsia="仿宋" w:cs="仿宋"/>
          <w:color w:val="auto"/>
          <w:sz w:val="32"/>
          <w:szCs w:val="32"/>
        </w:rPr>
      </w:pPr>
    </w:p>
    <w:p>
      <w:pPr>
        <w:numPr>
          <w:ilvl w:val="0"/>
          <w:numId w:val="0"/>
        </w:numPr>
        <w:spacing w:line="600" w:lineRule="exact"/>
        <w:ind w:firstLine="640" w:firstLineChars="200"/>
        <w:jc w:val="left"/>
        <w:rPr>
          <w:rFonts w:hint="eastAsia" w:ascii="仿宋_GB2312" w:hAnsi="仿宋" w:eastAsia="仿宋_GB2312" w:cs="仿宋"/>
          <w:color w:val="auto"/>
          <w:sz w:val="32"/>
          <w:szCs w:val="32"/>
          <w:lang w:eastAsia="zh-CN"/>
        </w:rPr>
      </w:pPr>
      <w:r>
        <w:rPr>
          <w:rFonts w:hint="eastAsia" w:ascii="黑体" w:hAnsi="黑体" w:eastAsia="黑体" w:cs="仿宋"/>
          <w:bCs/>
          <w:color w:val="auto"/>
          <w:sz w:val="32"/>
          <w:szCs w:val="32"/>
          <w:lang w:eastAsia="zh-CN"/>
        </w:rPr>
        <w:t>一、申报主体：</w:t>
      </w:r>
      <w:r>
        <w:rPr>
          <w:rFonts w:hint="eastAsia" w:ascii="仿宋_GB2312" w:hAnsi="仿宋" w:eastAsia="仿宋_GB2312" w:cs="仿宋"/>
          <w:color w:val="auto"/>
          <w:sz w:val="32"/>
          <w:szCs w:val="32"/>
          <w:lang w:eastAsia="zh-CN"/>
        </w:rPr>
        <w:t>小区党</w:t>
      </w:r>
      <w:bookmarkStart w:id="0" w:name="_GoBack"/>
      <w:bookmarkEnd w:id="0"/>
      <w:r>
        <w:rPr>
          <w:rFonts w:hint="eastAsia" w:ascii="仿宋_GB2312" w:hAnsi="仿宋" w:eastAsia="仿宋_GB2312" w:cs="仿宋"/>
          <w:color w:val="auto"/>
          <w:sz w:val="32"/>
          <w:szCs w:val="32"/>
          <w:lang w:eastAsia="zh-CN"/>
        </w:rPr>
        <w:t>组织、业主委员会或其委托的物业企业均可作为申报主体；未成立小区党组织、业主委员会也未聘请物业企业的小区，由所在社区具体负责申报。</w:t>
      </w:r>
    </w:p>
    <w:p>
      <w:pPr>
        <w:numPr>
          <w:ilvl w:val="0"/>
          <w:numId w:val="0"/>
        </w:numPr>
        <w:spacing w:line="600" w:lineRule="exact"/>
        <w:ind w:firstLine="640" w:firstLineChars="200"/>
        <w:jc w:val="left"/>
        <w:rPr>
          <w:rFonts w:hint="default" w:ascii="黑体" w:hAnsi="黑体" w:eastAsia="黑体" w:cs="仿宋"/>
          <w:bCs/>
          <w:color w:val="auto"/>
          <w:sz w:val="32"/>
          <w:szCs w:val="32"/>
          <w:lang w:val="en-US" w:eastAsia="zh-CN"/>
        </w:rPr>
      </w:pPr>
      <w:r>
        <w:rPr>
          <w:rFonts w:hint="eastAsia" w:ascii="黑体" w:hAnsi="黑体" w:eastAsia="黑体" w:cs="仿宋"/>
          <w:bCs/>
          <w:color w:val="auto"/>
          <w:sz w:val="32"/>
          <w:szCs w:val="32"/>
          <w:lang w:val="en-US" w:eastAsia="zh-CN"/>
        </w:rPr>
        <w:t>二、申报流程</w:t>
      </w:r>
    </w:p>
    <w:p>
      <w:pPr>
        <w:spacing w:line="600" w:lineRule="exact"/>
        <w:ind w:firstLine="643" w:firstLineChars="200"/>
        <w:jc w:val="left"/>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（一）</w:t>
      </w:r>
      <w:r>
        <w:rPr>
          <w:rFonts w:hint="eastAsia" w:ascii="楷体" w:hAnsi="楷体" w:eastAsia="楷体" w:cs="楷体"/>
          <w:b/>
          <w:bCs w:val="0"/>
          <w:color w:val="auto"/>
          <w:sz w:val="32"/>
          <w:szCs w:val="32"/>
        </w:rPr>
        <w:t>调研需求</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对住宅小区电动自行车底数进行摸查统计，评估小区居民对电动自行车充电设施需求。可通过问卷调查等方式，就电动自行车充电设施安装选址等征求业主意见。 </w:t>
      </w:r>
    </w:p>
    <w:p>
      <w:pPr>
        <w:spacing w:line="600" w:lineRule="exact"/>
        <w:ind w:firstLine="643" w:firstLineChars="200"/>
        <w:jc w:val="left"/>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（二）</w:t>
      </w:r>
      <w:r>
        <w:rPr>
          <w:rFonts w:hint="eastAsia" w:ascii="楷体" w:hAnsi="楷体" w:eastAsia="楷体" w:cs="楷体"/>
          <w:b/>
          <w:bCs w:val="0"/>
          <w:color w:val="auto"/>
          <w:sz w:val="32"/>
          <w:szCs w:val="32"/>
        </w:rPr>
        <w:t>制定方案</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按小区实际需求确定充电点位数量、资金来源、经营管理模式、停车棚样式等，按本报装指引要求，形成《电动自行车充电设施建设运营方案》。</w:t>
      </w:r>
    </w:p>
    <w:p>
      <w:pPr>
        <w:spacing w:line="600" w:lineRule="exact"/>
        <w:ind w:firstLine="643" w:firstLineChars="200"/>
        <w:jc w:val="left"/>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w:t>
      </w:r>
      <w:r>
        <w:rPr>
          <w:rFonts w:hint="eastAsia" w:ascii="楷体" w:hAnsi="楷体" w:eastAsia="楷体" w:cs="楷体"/>
          <w:b/>
          <w:bCs w:val="0"/>
          <w:color w:val="auto"/>
          <w:sz w:val="32"/>
          <w:szCs w:val="32"/>
        </w:rPr>
        <w:t>三</w:t>
      </w:r>
      <w:r>
        <w:rPr>
          <w:rFonts w:hint="eastAsia" w:ascii="楷体" w:hAnsi="楷体" w:eastAsia="楷体" w:cs="楷体"/>
          <w:b/>
          <w:bCs w:val="0"/>
          <w:color w:val="auto"/>
          <w:sz w:val="32"/>
          <w:szCs w:val="32"/>
          <w:lang w:eastAsia="zh-CN"/>
        </w:rPr>
        <w:t>）</w:t>
      </w:r>
      <w:r>
        <w:rPr>
          <w:rFonts w:hint="eastAsia" w:ascii="楷体" w:hAnsi="楷体" w:eastAsia="楷体" w:cs="楷体"/>
          <w:b/>
          <w:bCs w:val="0"/>
          <w:color w:val="auto"/>
          <w:sz w:val="32"/>
          <w:szCs w:val="32"/>
        </w:rPr>
        <w:t>公示公开</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将拟与充电设施建设企业签订的合作协议、建设企业资质情况、充电设施建设运营方案等资料一并在小区公共区域进行公示，征求广大业主意见，公示时间不少于7日。异议成立的，应进一步完善方案后重新公示。</w:t>
      </w:r>
    </w:p>
    <w:p>
      <w:pPr>
        <w:spacing w:line="600" w:lineRule="exact"/>
        <w:ind w:firstLine="643" w:firstLineChars="200"/>
        <w:jc w:val="left"/>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（四）</w:t>
      </w:r>
      <w:r>
        <w:rPr>
          <w:rFonts w:hint="eastAsia" w:ascii="楷体" w:hAnsi="楷体" w:eastAsia="楷体" w:cs="楷体"/>
          <w:b/>
          <w:bCs w:val="0"/>
          <w:color w:val="auto"/>
          <w:sz w:val="32"/>
          <w:szCs w:val="32"/>
        </w:rPr>
        <w:t>签订协议</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eastAsia="zh-CN"/>
        </w:rPr>
        <w:t>分别</w:t>
      </w:r>
      <w:r>
        <w:rPr>
          <w:rFonts w:hint="eastAsia" w:ascii="仿宋_GB2312" w:hAnsi="仿宋" w:eastAsia="仿宋_GB2312" w:cs="仿宋"/>
          <w:color w:val="auto"/>
          <w:sz w:val="32"/>
          <w:szCs w:val="32"/>
        </w:rPr>
        <w:t>与</w:t>
      </w:r>
      <w:r>
        <w:rPr>
          <w:rFonts w:hint="eastAsia" w:ascii="仿宋_GB2312" w:hAnsi="仿宋" w:eastAsia="仿宋_GB2312" w:cs="仿宋"/>
          <w:color w:val="auto"/>
          <w:sz w:val="32"/>
          <w:szCs w:val="32"/>
          <w:lang w:eastAsia="zh-CN"/>
        </w:rPr>
        <w:t>有资质的</w:t>
      </w:r>
      <w:r>
        <w:rPr>
          <w:rFonts w:hint="eastAsia" w:ascii="仿宋_GB2312" w:hAnsi="仿宋" w:eastAsia="仿宋_GB2312" w:cs="仿宋"/>
          <w:color w:val="auto"/>
          <w:sz w:val="32"/>
          <w:szCs w:val="32"/>
        </w:rPr>
        <w:t>充电设施建设</w:t>
      </w:r>
      <w:r>
        <w:rPr>
          <w:rFonts w:hint="eastAsia" w:ascii="仿宋_GB2312" w:hAnsi="仿宋" w:eastAsia="仿宋_GB2312" w:cs="仿宋"/>
          <w:color w:val="auto"/>
          <w:sz w:val="32"/>
          <w:szCs w:val="32"/>
          <w:lang w:eastAsia="zh-CN"/>
        </w:rPr>
        <w:t>、运营运维</w:t>
      </w:r>
      <w:r>
        <w:rPr>
          <w:rFonts w:hint="eastAsia" w:ascii="仿宋_GB2312" w:hAnsi="仿宋" w:eastAsia="仿宋_GB2312" w:cs="仿宋"/>
          <w:color w:val="auto"/>
          <w:sz w:val="32"/>
          <w:szCs w:val="32"/>
        </w:rPr>
        <w:t>企业签订协议，明确充电设施建设责任、安全责任，以及后期维护运营责任等内容。</w:t>
      </w:r>
    </w:p>
    <w:p>
      <w:pPr>
        <w:spacing w:line="600" w:lineRule="exact"/>
        <w:ind w:firstLine="643" w:firstLineChars="200"/>
        <w:jc w:val="left"/>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（五）施工建设</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按照确认后的建设方案，由建设企业安排有资质的专业技术人员建设充电设施。</w:t>
      </w:r>
    </w:p>
    <w:p>
      <w:pPr>
        <w:spacing w:line="600" w:lineRule="exact"/>
        <w:ind w:firstLine="643" w:firstLineChars="200"/>
        <w:jc w:val="left"/>
        <w:rPr>
          <w:rFonts w:hint="eastAsia" w:ascii="楷体" w:hAnsi="楷体" w:eastAsia="楷体" w:cs="楷体"/>
          <w:b/>
          <w:bCs w:val="0"/>
          <w:color w:val="auto"/>
          <w:sz w:val="32"/>
          <w:szCs w:val="32"/>
          <w:lang w:eastAsia="zh-CN"/>
        </w:rPr>
      </w:pPr>
      <w:r>
        <w:rPr>
          <w:rFonts w:hint="eastAsia" w:ascii="楷体" w:hAnsi="楷体" w:eastAsia="楷体" w:cs="楷体"/>
          <w:b/>
          <w:bCs w:val="0"/>
          <w:color w:val="auto"/>
          <w:sz w:val="32"/>
          <w:szCs w:val="32"/>
          <w:lang w:eastAsia="zh-CN"/>
        </w:rPr>
        <w:t>（六）资料留存</w:t>
      </w:r>
    </w:p>
    <w:p>
      <w:pPr>
        <w:spacing w:line="600" w:lineRule="exact"/>
        <w:ind w:firstLine="640" w:firstLineChars="200"/>
        <w:jc w:val="left"/>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 xml:space="preserve">业主单位应将充电设施建设的相关资料报属地社区（村）留存备查。留存备查资料包括但不限于：《电动自行车充电设施建设运营方案》、整套竣工资料（包括但不限于竣工图、设备材料相关资料等，至少2张现场图片）等。 </w:t>
      </w:r>
    </w:p>
    <w:p>
      <w:pPr>
        <w:rPr>
          <w:rFonts w:hint="eastAsia" w:ascii="仿宋_GB2312" w:eastAsia="仿宋_GB2312"/>
          <w:color w:val="auto"/>
        </w:rPr>
      </w:pPr>
    </w:p>
    <w:p>
      <w:pPr>
        <w:rPr>
          <w:rFonts w:hint="eastAsia" w:ascii="仿宋_GB2312" w:eastAsia="仿宋_GB2312"/>
          <w:color w:val="auto"/>
        </w:rPr>
      </w:pPr>
    </w:p>
    <w:p>
      <w:pPr>
        <w:rPr>
          <w:color w:val="auto"/>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CB"/>
    <w:rsid w:val="00212A1A"/>
    <w:rsid w:val="00A067CB"/>
    <w:rsid w:val="0582166F"/>
    <w:rsid w:val="08031F33"/>
    <w:rsid w:val="08190114"/>
    <w:rsid w:val="0898523A"/>
    <w:rsid w:val="0C0C7406"/>
    <w:rsid w:val="0E4258D4"/>
    <w:rsid w:val="14F65FFF"/>
    <w:rsid w:val="169918C7"/>
    <w:rsid w:val="18404300"/>
    <w:rsid w:val="348166D6"/>
    <w:rsid w:val="34FA0950"/>
    <w:rsid w:val="365A7BD3"/>
    <w:rsid w:val="37EC7444"/>
    <w:rsid w:val="3AA65ADC"/>
    <w:rsid w:val="3ABA378C"/>
    <w:rsid w:val="3BC003A7"/>
    <w:rsid w:val="42680D20"/>
    <w:rsid w:val="42B20949"/>
    <w:rsid w:val="45EB7655"/>
    <w:rsid w:val="46AB5C98"/>
    <w:rsid w:val="5F984EEC"/>
    <w:rsid w:val="60F326D0"/>
    <w:rsid w:val="61845268"/>
    <w:rsid w:val="6EF16B97"/>
    <w:rsid w:val="7380497C"/>
    <w:rsid w:val="7689132D"/>
    <w:rsid w:val="798F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3"/>
    <w:semiHidden/>
    <w:unhideWhenUsed/>
    <w:qFormat/>
    <w:uiPriority w:val="99"/>
    <w:pPr>
      <w:autoSpaceDE w:val="0"/>
      <w:autoSpaceDN w:val="0"/>
      <w:adjustRightInd w:val="0"/>
      <w:snapToGrid w:val="0"/>
      <w:jc w:val="left"/>
    </w:pPr>
    <w:rPr>
      <w:rFonts w:ascii="宋体" w:hAnsi="Times New Roman" w:cs="宋体"/>
      <w:kern w:val="0"/>
      <w:sz w:val="18"/>
    </w:rPr>
  </w:style>
  <w:style w:type="character" w:styleId="9">
    <w:name w:val="Hyperlink"/>
    <w:basedOn w:val="8"/>
    <w:semiHidden/>
    <w:unhideWhenUsed/>
    <w:qFormat/>
    <w:uiPriority w:val="99"/>
    <w:rPr>
      <w:color w:val="0000FF"/>
      <w:u w:val="single"/>
    </w:rPr>
  </w:style>
  <w:style w:type="character" w:styleId="10">
    <w:name w:val="footnote reference"/>
    <w:semiHidden/>
    <w:unhideWhenUsed/>
    <w:qFormat/>
    <w:uiPriority w:val="99"/>
    <w:rPr>
      <w:vertAlign w:val="superscript"/>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 w:type="character" w:customStyle="1" w:styleId="13">
    <w:name w:val="脚注文本 Char"/>
    <w:basedOn w:val="8"/>
    <w:link w:val="6"/>
    <w:semiHidden/>
    <w:qFormat/>
    <w:uiPriority w:val="99"/>
    <w:rPr>
      <w:rFonts w:ascii="宋体" w:hAnsi="Times New Roman" w:eastAsia="宋体" w:cs="宋体"/>
      <w:kern w:val="0"/>
      <w:sz w:val="18"/>
    </w:rPr>
  </w:style>
  <w:style w:type="character" w:customStyle="1" w:styleId="14">
    <w:name w:val="批注框文本 Char"/>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xlq</Company>
  <Pages>11</Pages>
  <Words>4244</Words>
  <Characters>4395</Characters>
  <Lines>33</Lines>
  <Paragraphs>9</Paragraphs>
  <TotalTime>3</TotalTime>
  <ScaleCrop>false</ScaleCrop>
  <LinksUpToDate>false</LinksUpToDate>
  <CharactersWithSpaces>4476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2022-03-17T06:38:00Z</dcterms:created>
  <dc:creator>林大铭</dc:creator>
  <cp:lastModifiedBy>修齐治平</cp:lastModifiedBy>
  <cp:lastPrinted>2022-03-22T06:38:00Z</cp:lastPrinted>
  <dcterms:modified xsi:type="dcterms:W3CDTF">2022-04-13T07:43:26Z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1BDDABAB390C4C3B92CEE3848B850D48</vt:lpwstr>
  </property>
</Properties>
</file>